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43A582" w14:textId="32F46E27" w:rsidR="00FB6CAA" w:rsidRPr="00020EBA" w:rsidRDefault="00B700C4" w:rsidP="00FB6CAA">
      <w:r w:rsidRPr="00020EBA">
        <w:rPr>
          <w:noProof/>
        </w:rPr>
        <mc:AlternateContent>
          <mc:Choice Requires="wps">
            <w:drawing>
              <wp:anchor distT="0" distB="0" distL="114300" distR="114300" simplePos="0" relativeHeight="251659264" behindDoc="0" locked="0" layoutInCell="1" allowOverlap="1" wp14:anchorId="0F360060" wp14:editId="1AA39023">
                <wp:simplePos x="0" y="0"/>
                <wp:positionH relativeFrom="column">
                  <wp:posOffset>6927</wp:posOffset>
                </wp:positionH>
                <wp:positionV relativeFrom="paragraph">
                  <wp:posOffset>-964276</wp:posOffset>
                </wp:positionV>
                <wp:extent cx="5895109" cy="1108363"/>
                <wp:effectExtent l="0" t="0" r="0" b="0"/>
                <wp:wrapNone/>
                <wp:docPr id="750592648" name="Tekstvak 1"/>
                <wp:cNvGraphicFramePr/>
                <a:graphic xmlns:a="http://schemas.openxmlformats.org/drawingml/2006/main">
                  <a:graphicData uri="http://schemas.microsoft.com/office/word/2010/wordprocessingShape">
                    <wps:wsp>
                      <wps:cNvSpPr txBox="1"/>
                      <wps:spPr>
                        <a:xfrm>
                          <a:off x="0" y="0"/>
                          <a:ext cx="5895109" cy="1108363"/>
                        </a:xfrm>
                        <a:prstGeom prst="rect">
                          <a:avLst/>
                        </a:prstGeom>
                        <a:noFill/>
                        <a:ln w="6350">
                          <a:noFill/>
                        </a:ln>
                      </wps:spPr>
                      <wps:txbx>
                        <w:txbxContent>
                          <w:p w14:paraId="1E27BF3D" w14:textId="4DEE97D3" w:rsidR="00B700C4" w:rsidRPr="00020EBA" w:rsidRDefault="00B700C4" w:rsidP="00B700C4">
                            <w:pPr>
                              <w:rPr>
                                <w:rFonts w:ascii="DIN Next LT Pro Medium" w:hAnsi="DIN Next LT Pro Medium"/>
                                <w:sz w:val="48"/>
                                <w:szCs w:val="48"/>
                              </w:rPr>
                            </w:pPr>
                            <w:r w:rsidRPr="00020EBA">
                              <w:rPr>
                                <w:rFonts w:ascii="DIN Next LT Pro Medium" w:eastAsiaTheme="majorEastAsia" w:hAnsi="DIN Next LT Pro Medium" w:cstheme="majorBidi"/>
                                <w:color w:val="ED7D31" w:themeColor="accent2"/>
                                <w:spacing w:val="-10"/>
                                <w:kern w:val="28"/>
                                <w:sz w:val="48"/>
                                <w:szCs w:val="48"/>
                              </w:rPr>
                              <w:t>Samenvatting beheerst beloningsbeleid</w:t>
                            </w:r>
                            <w:r w:rsidRPr="00020EBA">
                              <w:rPr>
                                <w:rFonts w:ascii="DIN Next LT Pro Medium" w:eastAsiaTheme="majorEastAsia" w:hAnsi="DIN Next LT Pro Medium" w:cstheme="majorBidi"/>
                                <w:color w:val="ED7D31" w:themeColor="accent2"/>
                                <w:spacing w:val="-10"/>
                                <w:kern w:val="28"/>
                                <w:sz w:val="48"/>
                                <w:szCs w:val="48"/>
                              </w:rPr>
                              <w:br/>
                              <w:t>Vast en Variabel deel salaris</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0F360060" id="_x0000_t202" coordsize="21600,21600" o:spt="202" path="m,l,21600r21600,l21600,xe">
                <v:stroke joinstyle="miter"/>
                <v:path gradientshapeok="t" o:connecttype="rect"/>
              </v:shapetype>
              <v:shape id="Tekstvak 1" o:spid="_x0000_s1026" type="#_x0000_t202" style="position:absolute;margin-left:.55pt;margin-top:-75.95pt;width:464.2pt;height:8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" filled="f" stroked="f" strokeweight=".5pt">
                <v:textbox inset="0">
                  <w:txbxContent>
                    <w:p w14:paraId="1E27BF3D" w14:textId="4DEE97D3" w:rsidR="00B700C4" w:rsidRPr="00020EBA" w:rsidRDefault="00B700C4" w:rsidP="00B700C4">
                      <w:pPr>
                        <w:rPr>
                          <w:rFonts w:ascii="DIN Next LT Pro Medium" w:hAnsi="DIN Next LT Pro Medium"/>
                          <w:sz w:val="48"/>
                          <w:szCs w:val="48"/>
                        </w:rPr>
                      </w:pPr>
                      <w:r w:rsidRPr="00020EBA">
                        <w:rPr>
                          <w:rFonts w:ascii="DIN Next LT Pro Medium" w:eastAsiaTheme="majorEastAsia" w:hAnsi="DIN Next LT Pro Medium" w:cstheme="majorBidi"/>
                          <w:color w:val="ED7D31" w:themeColor="accent2"/>
                          <w:spacing w:val="-10"/>
                          <w:kern w:val="28"/>
                          <w:sz w:val="48"/>
                          <w:szCs w:val="48"/>
                        </w:rPr>
                        <w:t>Samenvatting beheerst beloningsbeleid</w:t>
                      </w:r>
                      <w:r w:rsidRPr="00020EBA">
                        <w:rPr>
                          <w:rFonts w:ascii="DIN Next LT Pro Medium" w:eastAsiaTheme="majorEastAsia" w:hAnsi="DIN Next LT Pro Medium" w:cstheme="majorBidi"/>
                          <w:color w:val="ED7D31" w:themeColor="accent2"/>
                          <w:spacing w:val="-10"/>
                          <w:kern w:val="28"/>
                          <w:sz w:val="48"/>
                          <w:szCs w:val="48"/>
                        </w:rPr>
                        <w:br/>
                        <w:t>Vast en Variabel deel salaris</w:t>
                      </w:r>
                    </w:p>
                  </w:txbxContent>
                </v:textbox>
              </v:shape>
            </w:pict>
          </mc:Fallback>
        </mc:AlternateContent>
      </w:r>
    </w:p>
    <w:p w14:paraId="32E3C5A4" w14:textId="77777777" w:rsidR="00FB6CAA" w:rsidRPr="00020EBA" w:rsidRDefault="00FB6CAA" w:rsidP="00B700C4">
      <w:pPr>
        <w:pStyle w:val="Kop2"/>
      </w:pPr>
      <w:r w:rsidRPr="00020EBA">
        <w:t>Beloningsbeleid van onze medewerkers</w:t>
      </w:r>
    </w:p>
    <w:p w14:paraId="6721F7F9" w14:textId="77777777" w:rsidR="00FB6CAA" w:rsidRPr="00020EBA" w:rsidRDefault="00FB6CAA" w:rsidP="00FB6CAA">
      <w:r w:rsidRPr="00020EBA">
        <w:t xml:space="preserve">Het beloningsbeleid van onze medewerkers is gericht op het bevorderen, aantrekken en behouden van goed gekwalificeerde medewerkers. Met ons beloningsbeleid willen wij de focus leggen op de langere termijn belangen van onze klanten en onze onderneming. Daar waar mogelijk zullen wij bij de wijze van beloning stimuleren dat de klant zorgvuldig behandeld wordt en dat onze zorgplicht wordt nagekomen. En dat wij waar mogelijk zullen voorkomen dat medewerkers door de beloning geprikkeld worden tot onzorgvuldig behandelen van de klant en niet nakomen van onze zorgplicht. Uitgangspunt is dat een klant te allen tijde passend advies krijgt. </w:t>
      </w:r>
    </w:p>
    <w:p w14:paraId="4587BB4A" w14:textId="77777777" w:rsidR="00FB6CAA" w:rsidRPr="00020EBA" w:rsidRDefault="00FB6CAA" w:rsidP="00FB6CAA">
      <w:r w:rsidRPr="00020EBA">
        <w:t>Ons beloningsbeleid is transparant en bekend bij onze medewerkers. Via deze samenvatting communiceren wij in grote lijnen hoe onze medewerkers worden beloond.</w:t>
      </w:r>
    </w:p>
    <w:p w14:paraId="0328DA42" w14:textId="77777777" w:rsidR="00FB6CAA" w:rsidRPr="00020EBA" w:rsidRDefault="00FB6CAA" w:rsidP="00FB6CAA"/>
    <w:p w14:paraId="5149B752" w14:textId="77777777" w:rsidR="00FB6CAA" w:rsidRPr="00020EBA" w:rsidRDefault="00FB6CAA" w:rsidP="00B700C4">
      <w:pPr>
        <w:pStyle w:val="Kop2"/>
      </w:pPr>
      <w:r w:rsidRPr="00020EBA">
        <w:t>Beloning medewerkers</w:t>
      </w:r>
    </w:p>
    <w:p w14:paraId="140A981D" w14:textId="77777777" w:rsidR="00FB6CAA" w:rsidRPr="00020EBA" w:rsidRDefault="00FB6CAA" w:rsidP="00FB6CAA">
      <w:r w:rsidRPr="00020EBA">
        <w:t>Onze medewerkers ontvangen een vast salaris en kunnen een gemaximeerde variabele beloning ontvangen die afhankelijk is van bepaalde prestaties/criteria &lt;en/of een winstafhankelijke uitkering&gt;. Of een medewerker in aanmerking komt voor de variabele beloning en/of &lt;winstafhankelijke uitkering&gt;, is afhankelijk van een aantal prestaties/criteria, waarvan tenminste 50% niet-financiële criteria beslaan.</w:t>
      </w:r>
    </w:p>
    <w:p w14:paraId="71EB7217" w14:textId="0954F119" w:rsidR="00FB6CAA" w:rsidRPr="00020EBA" w:rsidRDefault="00FB6CAA" w:rsidP="00FB6CAA">
      <w:r w:rsidRPr="00020EBA">
        <w:t xml:space="preserve">Van al onze medewerkers komen </w:t>
      </w:r>
      <w:r w:rsidR="00376956">
        <w:t>P.C.M. Jacobs</w:t>
      </w:r>
      <w:r w:rsidRPr="00020EBA">
        <w:t xml:space="preserve"> in aanmerking voor een variabele beloning. Deze medewerkers zijn werkzaam bij het </w:t>
      </w:r>
      <w:r w:rsidR="00376956" w:rsidRPr="00020EBA">
        <w:t>bedrijfsonderdeel</w:t>
      </w:r>
      <w:r w:rsidR="00376956">
        <w:t xml:space="preserve"> hypotheken</w:t>
      </w:r>
      <w:r w:rsidRPr="00020EBA">
        <w:t xml:space="preserve">. Zij kunnen, als aan de gestelde criteria is voldaan, maximaal </w:t>
      </w:r>
      <w:r w:rsidR="00376956">
        <w:t>10</w:t>
      </w:r>
      <w:r w:rsidRPr="00020EBA">
        <w:t>% aan variabele beloning ontvangen.</w:t>
      </w:r>
    </w:p>
    <w:p w14:paraId="3350743C" w14:textId="77777777" w:rsidR="00FB6CAA" w:rsidRPr="00020EBA" w:rsidRDefault="00FB6CAA" w:rsidP="00FB6CAA">
      <w:r w:rsidRPr="00020EBA">
        <w:t xml:space="preserve">Artikel 1:120 lid 2 van de </w:t>
      </w:r>
      <w:proofErr w:type="spellStart"/>
      <w:r w:rsidRPr="00020EBA">
        <w:t>Wft</w:t>
      </w:r>
      <w:proofErr w:type="spellEnd"/>
      <w:r w:rsidRPr="00020EBA">
        <w:t xml:space="preserve"> is op onze onderneming niet van toepassing.</w:t>
      </w:r>
    </w:p>
    <w:p w14:paraId="6F051C2E" w14:textId="36A5408A" w:rsidR="00FB6CAA" w:rsidRPr="00020EBA" w:rsidRDefault="00376956" w:rsidP="00376956">
      <w:r>
        <w:t>Het totaal in 202</w:t>
      </w:r>
      <w:r>
        <w:t>5</w:t>
      </w:r>
      <w:r>
        <w:t xml:space="preserve"> aan variabele beloning uitbetaalde bedraagt maximaal 10% van onze totale</w:t>
      </w:r>
      <w:r>
        <w:t xml:space="preserve"> </w:t>
      </w:r>
      <w:r>
        <w:t>salarislasten.</w:t>
      </w:r>
    </w:p>
    <w:p w14:paraId="32171124" w14:textId="77777777" w:rsidR="00FB6CAA" w:rsidRPr="00020EBA" w:rsidRDefault="00FB6CAA" w:rsidP="00B700C4">
      <w:pPr>
        <w:pStyle w:val="Kop2"/>
      </w:pPr>
      <w:r w:rsidRPr="00020EBA">
        <w:t>Maatregelen om een beheerst beloningsbeleid te borgen</w:t>
      </w:r>
    </w:p>
    <w:p w14:paraId="39F9524B" w14:textId="77777777" w:rsidR="00FB6CAA" w:rsidRPr="00020EBA" w:rsidRDefault="00FB6CAA" w:rsidP="00FB6CAA">
      <w:r w:rsidRPr="00020EBA">
        <w:t>Ons beloningsbeleid is altijd gericht op het voorkomen van onzorgvuldige behandeling van klanten. Op basis van een risicoanalyse die wij hebben gemaakt van ons beloningsbeleid hebben wij een aantal maatregelen getroffen die een beheerst beloningsbeleid borgen.</w:t>
      </w:r>
    </w:p>
    <w:p w14:paraId="2CD6D446" w14:textId="77777777" w:rsidR="00FB6CAA" w:rsidRPr="00020EBA" w:rsidRDefault="00FB6CAA" w:rsidP="00FB6CAA"/>
    <w:p w14:paraId="489A50C7" w14:textId="77777777" w:rsidR="00FB6CAA" w:rsidRPr="00020EBA" w:rsidRDefault="00FB6CAA" w:rsidP="00B700C4">
      <w:pPr>
        <w:pStyle w:val="Kop2"/>
      </w:pPr>
      <w:r w:rsidRPr="00020EBA">
        <w:t>Maatregelen:</w:t>
      </w:r>
    </w:p>
    <w:p w14:paraId="6319C9D8" w14:textId="52773B0E" w:rsidR="00FB6CAA" w:rsidRPr="00376956" w:rsidRDefault="00FB6CAA" w:rsidP="00B700C4">
      <w:pPr>
        <w:pStyle w:val="Lijstalinea"/>
        <w:numPr>
          <w:ilvl w:val="0"/>
          <w:numId w:val="13"/>
        </w:numPr>
      </w:pPr>
      <w:r w:rsidRPr="00020EBA">
        <w:t xml:space="preserve">Tegenwoordig worden wij bij complexe financiële producten rechtstreeks betaald door u, de klant. En dus niet meer door middel van provisies door de aanbieder. Dit betekent een extra waarborg voor u dat u een onafhankelijk advies krijgt. Alleen </w:t>
      </w:r>
      <w:r w:rsidRPr="00376956">
        <w:t>bij producten met een kleine financiële impact, zoals schadeverzekeringen en bij consumptief krediet waar de wetgever dit verplicht stelt, ontvangen wij provisie van de aanbieder.</w:t>
      </w:r>
    </w:p>
    <w:p w14:paraId="6F613E5B" w14:textId="1B900FE0" w:rsidR="00FB6CAA" w:rsidRPr="00020EBA" w:rsidRDefault="00FB6CAA" w:rsidP="00B700C4">
      <w:pPr>
        <w:pStyle w:val="Lijstalinea"/>
        <w:numPr>
          <w:ilvl w:val="0"/>
          <w:numId w:val="13"/>
        </w:numPr>
      </w:pPr>
      <w:r w:rsidRPr="00020EBA">
        <w:lastRenderedPageBreak/>
        <w:t xml:space="preserve">Jaarlijks houdt de </w:t>
      </w:r>
      <w:r w:rsidR="00376956">
        <w:t>directeur</w:t>
      </w:r>
      <w:r w:rsidRPr="00020EBA">
        <w:t xml:space="preserve"> een beoordelingsgesprek met de medewerkers waarbij ook de afspraken en doelen worden beoordeeld. Daarnaast houden wij periodiek een werkoverleg waarin de voortgang van de afspraken en doelen worden besproken.</w:t>
      </w:r>
    </w:p>
    <w:p w14:paraId="00A20F91" w14:textId="77777777" w:rsidR="00FB6CAA" w:rsidRPr="00020EBA" w:rsidRDefault="00FB6CAA" w:rsidP="00B700C4">
      <w:pPr>
        <w:pStyle w:val="Lijstalinea"/>
        <w:numPr>
          <w:ilvl w:val="0"/>
          <w:numId w:val="13"/>
        </w:numPr>
      </w:pPr>
      <w:r w:rsidRPr="00020EBA">
        <w:t xml:space="preserve">Jaarlijks vindt door de verantwoordelijke(n) een evaluatie plaats van het beloningsbeleid en wordt een risicoanalyse uitgevoerd. </w:t>
      </w:r>
    </w:p>
    <w:p w14:paraId="643BCD5E" w14:textId="77777777" w:rsidR="00FB6CAA" w:rsidRPr="00020EBA" w:rsidRDefault="00FB6CAA" w:rsidP="00B700C4">
      <w:pPr>
        <w:pStyle w:val="Lijstalinea"/>
        <w:numPr>
          <w:ilvl w:val="0"/>
          <w:numId w:val="13"/>
        </w:numPr>
      </w:pPr>
      <w:r w:rsidRPr="00020EBA">
        <w:t>Iedere 18 maanden wordt door een onafhankelijke instantie gecontroleerd of de procedures en werkwijze voldoen aan de vereisten uit de Wet financieel toezicht (</w:t>
      </w:r>
      <w:proofErr w:type="spellStart"/>
      <w:r w:rsidRPr="00020EBA">
        <w:t>Wft</w:t>
      </w:r>
      <w:proofErr w:type="spellEnd"/>
      <w:r w:rsidRPr="00020EBA">
        <w:t>). Daarbij worden klantdossiers steekproefsgewijs of met een steekproef gecontroleerd. Dat is een extra borging dat in het lange termijn belang van de consument wordt gehandeld.</w:t>
      </w:r>
    </w:p>
    <w:p w14:paraId="654288FB" w14:textId="77777777" w:rsidR="00FB6CAA" w:rsidRPr="00020EBA" w:rsidRDefault="00FB6CAA" w:rsidP="00B700C4">
      <w:pPr>
        <w:pStyle w:val="Lijstalinea"/>
        <w:numPr>
          <w:ilvl w:val="0"/>
          <w:numId w:val="13"/>
        </w:numPr>
      </w:pPr>
      <w:r w:rsidRPr="00020EBA">
        <w:t>Als blijkt dat het klantbelang geschaad is door de medewerker dan kan dit leiden tot een</w:t>
      </w:r>
    </w:p>
    <w:p w14:paraId="448DF7D3" w14:textId="05F17037" w:rsidR="00FB6CAA" w:rsidRPr="00020EBA" w:rsidRDefault="00FB6CAA" w:rsidP="00204E93">
      <w:pPr>
        <w:pStyle w:val="Lijstalinea"/>
      </w:pPr>
      <w:r w:rsidRPr="00020EBA">
        <w:t>lagere of geen variabele beloning</w:t>
      </w:r>
      <w:r w:rsidR="00376956">
        <w:t>.</w:t>
      </w:r>
    </w:p>
    <w:p w14:paraId="5C4E161B" w14:textId="4376BF7E" w:rsidR="00C05143" w:rsidRPr="00FB6CAA" w:rsidRDefault="00C05143" w:rsidP="00FB6CAA"/>
    <w:sectPr w:rsidR="00C05143" w:rsidRPr="00FB6CA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FFB4D4" w14:textId="77777777" w:rsidR="00BC11E9" w:rsidRPr="00020EBA" w:rsidRDefault="00BC11E9" w:rsidP="00DD2113">
      <w:pPr>
        <w:spacing w:after="0" w:line="240" w:lineRule="auto"/>
      </w:pPr>
      <w:r w:rsidRPr="00020EBA">
        <w:separator/>
      </w:r>
    </w:p>
  </w:endnote>
  <w:endnote w:type="continuationSeparator" w:id="0">
    <w:p w14:paraId="6D2D318C" w14:textId="77777777" w:rsidR="00BC11E9" w:rsidRPr="00020EBA" w:rsidRDefault="00BC11E9" w:rsidP="00DD2113">
      <w:pPr>
        <w:spacing w:after="0" w:line="240" w:lineRule="auto"/>
      </w:pPr>
      <w:r w:rsidRPr="00020E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IN Next LT Pro">
    <w:altName w:val="Calibri"/>
    <w:panose1 w:val="00000000000000000000"/>
    <w:charset w:val="4D"/>
    <w:family w:val="swiss"/>
    <w:notTrueType/>
    <w:pitch w:val="variable"/>
    <w:sig w:usb0="A000002F" w:usb1="5000205B"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DIN Next LT Pro Medium">
    <w:altName w:val="Calibri"/>
    <w:panose1 w:val="00000000000000000000"/>
    <w:charset w:val="4D"/>
    <w:family w:val="swiss"/>
    <w:notTrueType/>
    <w:pitch w:val="variable"/>
    <w:sig w:usb0="A000002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4CE5A" w14:textId="307BACDE" w:rsidR="00DD2113" w:rsidRPr="00020EBA" w:rsidRDefault="00DD2113">
    <w:pPr>
      <w:pStyle w:val="Voettekst"/>
    </w:pPr>
    <w:r w:rsidRPr="00020EBA">
      <w:rPr>
        <w:noProof/>
      </w:rPr>
      <w:drawing>
        <wp:anchor distT="0" distB="0" distL="114300" distR="114300" simplePos="0" relativeHeight="251659264" behindDoc="0" locked="0" layoutInCell="1" allowOverlap="1" wp14:anchorId="13A395C5" wp14:editId="6A4179C2">
          <wp:simplePos x="0" y="0"/>
          <wp:positionH relativeFrom="margin">
            <wp:posOffset>5801995</wp:posOffset>
          </wp:positionH>
          <wp:positionV relativeFrom="margin">
            <wp:posOffset>7501890</wp:posOffset>
          </wp:positionV>
          <wp:extent cx="283845" cy="1281430"/>
          <wp:effectExtent l="0" t="0" r="4762" b="4763"/>
          <wp:wrapSquare wrapText="bothSides"/>
          <wp:docPr id="31861971" name="Picture 2" descr="A group of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1971" name="Picture 2" descr="A group of orang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5400000" flipH="1">
                    <a:off x="0" y="0"/>
                    <a:ext cx="283845" cy="12814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576C2" w14:textId="77777777" w:rsidR="00BC11E9" w:rsidRPr="00020EBA" w:rsidRDefault="00BC11E9" w:rsidP="00DD2113">
      <w:pPr>
        <w:spacing w:after="0" w:line="240" w:lineRule="auto"/>
      </w:pPr>
      <w:r w:rsidRPr="00020EBA">
        <w:separator/>
      </w:r>
    </w:p>
  </w:footnote>
  <w:footnote w:type="continuationSeparator" w:id="0">
    <w:p w14:paraId="2FBD2FC9" w14:textId="77777777" w:rsidR="00BC11E9" w:rsidRPr="00020EBA" w:rsidRDefault="00BC11E9" w:rsidP="00DD2113">
      <w:pPr>
        <w:spacing w:after="0" w:line="240" w:lineRule="auto"/>
      </w:pPr>
      <w:r w:rsidRPr="00020E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AB4C8" w14:textId="32E6D849" w:rsidR="00DD2113" w:rsidRPr="00020EBA" w:rsidRDefault="00DD2113">
    <w:pPr>
      <w:pStyle w:val="Koptekst"/>
    </w:pPr>
    <w:r w:rsidRPr="00020EBA">
      <w:rPr>
        <w:noProof/>
      </w:rPr>
      <w:drawing>
        <wp:anchor distT="0" distB="0" distL="114300" distR="114300" simplePos="0" relativeHeight="251658240" behindDoc="0" locked="0" layoutInCell="1" allowOverlap="1" wp14:anchorId="2FF8E4C1" wp14:editId="2DF438EF">
          <wp:simplePos x="0" y="0"/>
          <wp:positionH relativeFrom="margin">
            <wp:posOffset>5636539</wp:posOffset>
          </wp:positionH>
          <wp:positionV relativeFrom="margin">
            <wp:posOffset>-1188085</wp:posOffset>
          </wp:positionV>
          <wp:extent cx="914400" cy="914400"/>
          <wp:effectExtent l="0" t="0" r="0" b="0"/>
          <wp:wrapSquare wrapText="bothSides"/>
          <wp:docPr id="201226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6533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p w14:paraId="7A013DC1" w14:textId="77777777" w:rsidR="00DD2113" w:rsidRPr="00020EBA" w:rsidRDefault="00DD2113">
    <w:pPr>
      <w:pStyle w:val="Koptekst"/>
    </w:pPr>
  </w:p>
  <w:p w14:paraId="69F61AD3" w14:textId="77777777" w:rsidR="00DD2113" w:rsidRPr="00020EBA" w:rsidRDefault="00DD2113">
    <w:pPr>
      <w:pStyle w:val="Koptekst"/>
    </w:pPr>
  </w:p>
  <w:p w14:paraId="637A10C5" w14:textId="77777777" w:rsidR="00DD2113" w:rsidRPr="00020EBA" w:rsidRDefault="00DD2113">
    <w:pPr>
      <w:pStyle w:val="Koptekst"/>
    </w:pPr>
  </w:p>
  <w:p w14:paraId="71B39BBA" w14:textId="77777777" w:rsidR="00DD2113" w:rsidRPr="00020EBA" w:rsidRDefault="00DD2113">
    <w:pPr>
      <w:pStyle w:val="Koptekst"/>
    </w:pPr>
  </w:p>
  <w:p w14:paraId="66F687B0" w14:textId="31D0D0CB" w:rsidR="00DD2113" w:rsidRPr="00020EBA" w:rsidRDefault="00DD21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C4180"/>
    <w:multiLevelType w:val="hybridMultilevel"/>
    <w:tmpl w:val="AA74B8B6"/>
    <w:lvl w:ilvl="0" w:tplc="430C81FC">
      <w:start w:val="1"/>
      <w:numFmt w:val="bullet"/>
      <w:lvlText w:val=""/>
      <w:lvlJc w:val="left"/>
      <w:pPr>
        <w:ind w:left="720" w:hanging="360"/>
      </w:pPr>
      <w:rPr>
        <w:rFonts w:ascii="Symbol" w:hAnsi="Symbol" w:hint="default"/>
      </w:rPr>
    </w:lvl>
    <w:lvl w:ilvl="1" w:tplc="B16AAB1C">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11F56"/>
    <w:multiLevelType w:val="hybridMultilevel"/>
    <w:tmpl w:val="D0B2D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C1DFA"/>
    <w:multiLevelType w:val="hybridMultilevel"/>
    <w:tmpl w:val="897CF044"/>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E86E85"/>
    <w:multiLevelType w:val="hybridMultilevel"/>
    <w:tmpl w:val="0CD4631C"/>
    <w:lvl w:ilvl="0" w:tplc="430C81F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AD49CA"/>
    <w:multiLevelType w:val="hybridMultilevel"/>
    <w:tmpl w:val="1E04E572"/>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D0C71"/>
    <w:multiLevelType w:val="hybridMultilevel"/>
    <w:tmpl w:val="97A63F7C"/>
    <w:lvl w:ilvl="0" w:tplc="2EE4711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391987"/>
    <w:multiLevelType w:val="hybridMultilevel"/>
    <w:tmpl w:val="03425208"/>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722167"/>
    <w:multiLevelType w:val="hybridMultilevel"/>
    <w:tmpl w:val="5E2E62D6"/>
    <w:lvl w:ilvl="0" w:tplc="3B5EE20C">
      <w:start w:val="1"/>
      <w:numFmt w:val="bullet"/>
      <w:lvlText w:val=""/>
      <w:lvlJc w:val="left"/>
      <w:pPr>
        <w:ind w:left="720" w:hanging="360"/>
      </w:pPr>
      <w:rPr>
        <w:rFonts w:ascii="Symbol" w:hAnsi="Symbol" w:hint="default"/>
        <w:color w:val="ED7D31"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FC5701F"/>
    <w:multiLevelType w:val="hybridMultilevel"/>
    <w:tmpl w:val="0CC08770"/>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1C656BB"/>
    <w:multiLevelType w:val="hybridMultilevel"/>
    <w:tmpl w:val="35A8EE3C"/>
    <w:lvl w:ilvl="0" w:tplc="430C8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865A94"/>
    <w:multiLevelType w:val="hybridMultilevel"/>
    <w:tmpl w:val="9900F9D0"/>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0013873"/>
    <w:multiLevelType w:val="hybridMultilevel"/>
    <w:tmpl w:val="8E3AF3BE"/>
    <w:lvl w:ilvl="0" w:tplc="430C81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D57340"/>
    <w:multiLevelType w:val="hybridMultilevel"/>
    <w:tmpl w:val="7B9A696C"/>
    <w:lvl w:ilvl="0" w:tplc="3B5EE20C">
      <w:start w:val="1"/>
      <w:numFmt w:val="bullet"/>
      <w:lvlText w:val=""/>
      <w:lvlJc w:val="left"/>
      <w:pPr>
        <w:ind w:left="1080" w:hanging="360"/>
      </w:pPr>
      <w:rPr>
        <w:rFonts w:ascii="Symbol" w:hAnsi="Symbol" w:hint="default"/>
        <w:color w:val="ED7D31"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9"/>
  </w:num>
  <w:num w:numId="4">
    <w:abstractNumId w:val="2"/>
  </w:num>
  <w:num w:numId="5">
    <w:abstractNumId w:val="4"/>
  </w:num>
  <w:num w:numId="6">
    <w:abstractNumId w:val="0"/>
  </w:num>
  <w:num w:numId="7">
    <w:abstractNumId w:val="11"/>
  </w:num>
  <w:num w:numId="8">
    <w:abstractNumId w:val="5"/>
  </w:num>
  <w:num w:numId="9">
    <w:abstractNumId w:val="10"/>
  </w:num>
  <w:num w:numId="10">
    <w:abstractNumId w:val="12"/>
  </w:num>
  <w:num w:numId="11">
    <w:abstractNumId w:val="8"/>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62A"/>
    <w:rsid w:val="0001128B"/>
    <w:rsid w:val="00020EBA"/>
    <w:rsid w:val="000F11F6"/>
    <w:rsid w:val="000F3E8E"/>
    <w:rsid w:val="0016080F"/>
    <w:rsid w:val="00197938"/>
    <w:rsid w:val="001F2832"/>
    <w:rsid w:val="00204E93"/>
    <w:rsid w:val="00261353"/>
    <w:rsid w:val="003023E4"/>
    <w:rsid w:val="00376956"/>
    <w:rsid w:val="003F3D9A"/>
    <w:rsid w:val="00420777"/>
    <w:rsid w:val="004E55F3"/>
    <w:rsid w:val="00524B67"/>
    <w:rsid w:val="005628E0"/>
    <w:rsid w:val="00690F19"/>
    <w:rsid w:val="006E470E"/>
    <w:rsid w:val="007679BC"/>
    <w:rsid w:val="00775CE2"/>
    <w:rsid w:val="007A330C"/>
    <w:rsid w:val="007B3608"/>
    <w:rsid w:val="007C43EB"/>
    <w:rsid w:val="008F2C14"/>
    <w:rsid w:val="0093262A"/>
    <w:rsid w:val="00A07269"/>
    <w:rsid w:val="00AB679A"/>
    <w:rsid w:val="00AD714A"/>
    <w:rsid w:val="00B00D89"/>
    <w:rsid w:val="00B700C4"/>
    <w:rsid w:val="00BC11E9"/>
    <w:rsid w:val="00C05143"/>
    <w:rsid w:val="00C83277"/>
    <w:rsid w:val="00D21861"/>
    <w:rsid w:val="00DD2113"/>
    <w:rsid w:val="00E032B7"/>
    <w:rsid w:val="00E342FA"/>
    <w:rsid w:val="00FB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E99D"/>
  <w15:chartTrackingRefBased/>
  <w15:docId w15:val="{E1C6C5A2-E342-4510-B046-09334DED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2113"/>
    <w:rPr>
      <w:rFonts w:ascii="DIN Next LT Pro" w:hAnsi="DIN Next LT Pro"/>
      <w:lang w:val="nl-NL"/>
    </w:rPr>
  </w:style>
  <w:style w:type="paragraph" w:styleId="Kop1">
    <w:name w:val="heading 1"/>
    <w:basedOn w:val="Standaard"/>
    <w:next w:val="Standaard"/>
    <w:link w:val="Kop1Char"/>
    <w:uiPriority w:val="9"/>
    <w:qFormat/>
    <w:rsid w:val="00DD2113"/>
    <w:pPr>
      <w:keepNext/>
      <w:keepLines/>
      <w:spacing w:before="240" w:after="0"/>
      <w:outlineLvl w:val="0"/>
    </w:pPr>
    <w:rPr>
      <w:rFonts w:eastAsiaTheme="majorEastAsia" w:cstheme="majorBidi"/>
      <w:b/>
      <w:color w:val="02254F"/>
      <w:sz w:val="24"/>
      <w:szCs w:val="32"/>
    </w:rPr>
  </w:style>
  <w:style w:type="paragraph" w:styleId="Kop2">
    <w:name w:val="heading 2"/>
    <w:basedOn w:val="Standaard"/>
    <w:next w:val="Standaard"/>
    <w:link w:val="Kop2Char"/>
    <w:uiPriority w:val="9"/>
    <w:unhideWhenUsed/>
    <w:qFormat/>
    <w:rsid w:val="00DD2113"/>
    <w:pPr>
      <w:keepNext/>
      <w:keepLines/>
      <w:spacing w:before="40" w:after="0"/>
      <w:outlineLvl w:val="1"/>
    </w:pPr>
    <w:rPr>
      <w:rFonts w:eastAsiaTheme="majorEastAsia" w:cstheme="majorBidi"/>
      <w:b/>
      <w:color w:val="02254F"/>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rsid w:val="001F2832"/>
    <w:pPr>
      <w:ind w:left="720"/>
      <w:contextualSpacing/>
    </w:pPr>
  </w:style>
  <w:style w:type="character" w:styleId="Hyperlink">
    <w:name w:val="Hyperlink"/>
    <w:basedOn w:val="Standaardalinea-lettertype"/>
    <w:uiPriority w:val="99"/>
    <w:unhideWhenUsed/>
    <w:rsid w:val="00AB679A"/>
    <w:rPr>
      <w:color w:val="0563C1" w:themeColor="hyperlink"/>
      <w:u w:val="single"/>
    </w:rPr>
  </w:style>
  <w:style w:type="character" w:styleId="Onopgelostemelding">
    <w:name w:val="Unresolved Mention"/>
    <w:basedOn w:val="Standaardalinea-lettertype"/>
    <w:uiPriority w:val="99"/>
    <w:semiHidden/>
    <w:unhideWhenUsed/>
    <w:rsid w:val="00AB679A"/>
    <w:rPr>
      <w:color w:val="605E5C"/>
      <w:shd w:val="clear" w:color="auto" w:fill="E1DFDD"/>
    </w:rPr>
  </w:style>
  <w:style w:type="paragraph" w:styleId="Koptekst">
    <w:name w:val="header"/>
    <w:basedOn w:val="Standaard"/>
    <w:link w:val="KoptekstChar"/>
    <w:uiPriority w:val="99"/>
    <w:unhideWhenUsed/>
    <w:rsid w:val="00DD211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D2113"/>
  </w:style>
  <w:style w:type="paragraph" w:styleId="Voettekst">
    <w:name w:val="footer"/>
    <w:basedOn w:val="Standaard"/>
    <w:link w:val="VoettekstChar"/>
    <w:uiPriority w:val="99"/>
    <w:unhideWhenUsed/>
    <w:rsid w:val="00DD211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D2113"/>
  </w:style>
  <w:style w:type="character" w:customStyle="1" w:styleId="Kop1Char">
    <w:name w:val="Kop 1 Char"/>
    <w:basedOn w:val="Standaardalinea-lettertype"/>
    <w:link w:val="Kop1"/>
    <w:uiPriority w:val="9"/>
    <w:rsid w:val="00DD2113"/>
    <w:rPr>
      <w:rFonts w:ascii="DIN Next LT Pro" w:eastAsiaTheme="majorEastAsia" w:hAnsi="DIN Next LT Pro" w:cstheme="majorBidi"/>
      <w:b/>
      <w:color w:val="02254F"/>
      <w:sz w:val="24"/>
      <w:szCs w:val="32"/>
    </w:rPr>
  </w:style>
  <w:style w:type="character" w:customStyle="1" w:styleId="Kop2Char">
    <w:name w:val="Kop 2 Char"/>
    <w:basedOn w:val="Standaardalinea-lettertype"/>
    <w:link w:val="Kop2"/>
    <w:uiPriority w:val="9"/>
    <w:rsid w:val="00DD2113"/>
    <w:rPr>
      <w:rFonts w:ascii="DIN Next LT Pro" w:eastAsiaTheme="majorEastAsia" w:hAnsi="DIN Next LT Pro" w:cstheme="majorBidi"/>
      <w:b/>
      <w:color w:val="02254F"/>
      <w:szCs w:val="26"/>
    </w:rPr>
  </w:style>
  <w:style w:type="paragraph" w:styleId="Citaat">
    <w:name w:val="Quote"/>
    <w:basedOn w:val="Standaard"/>
    <w:next w:val="Standaard"/>
    <w:link w:val="CitaatChar"/>
    <w:uiPriority w:val="29"/>
    <w:qFormat/>
    <w:rsid w:val="00DD2113"/>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2113"/>
    <w:rPr>
      <w:rFonts w:ascii="DIN Next LT Pro" w:hAnsi="DIN Next LT Pro"/>
      <w:i/>
      <w:iCs/>
      <w:color w:val="404040" w:themeColor="text1" w:themeTint="BF"/>
    </w:rPr>
  </w:style>
  <w:style w:type="character" w:styleId="Nadruk">
    <w:name w:val="Emphasis"/>
    <w:aliases w:val="Bold"/>
    <w:basedOn w:val="Standaardalinea-lettertype"/>
    <w:uiPriority w:val="20"/>
    <w:qFormat/>
    <w:rsid w:val="00DD2113"/>
    <w:rPr>
      <w:rFonts w:ascii="DIN Next LT Pro" w:hAnsi="DIN Next LT Pro"/>
      <w:b/>
      <w:i w:val="0"/>
      <w:iCs/>
      <w:color w:val="02254F"/>
      <w:sz w:val="22"/>
    </w:rPr>
  </w:style>
  <w:style w:type="paragraph" w:styleId="Titel">
    <w:name w:val="Title"/>
    <w:basedOn w:val="Standaard"/>
    <w:next w:val="Standaard"/>
    <w:link w:val="TitelChar"/>
    <w:uiPriority w:val="10"/>
    <w:qFormat/>
    <w:rsid w:val="00B700C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00C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705CC-184F-47E5-B546-A1C8FB685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505</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Molleman, Vica</dc:creator>
  <cp:keywords/>
  <dc:description/>
  <cp:lastModifiedBy>Pieter Baas</cp:lastModifiedBy>
  <cp:revision>2</cp:revision>
  <cp:lastPrinted>2019-03-25T13:35:00Z</cp:lastPrinted>
  <dcterms:created xsi:type="dcterms:W3CDTF">2026-07-02T09:38:00Z</dcterms:created>
  <dcterms:modified xsi:type="dcterms:W3CDTF">2026-07-02T09:38:00Z</dcterms:modified>
</cp:coreProperties>
</file>